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Grade: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Lesson duration: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Topic/Title of 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. (See pgs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sz w:val="22"/>
                <w:szCs w:val="22"/>
                <w:rtl w:val="0"/>
              </w:rPr>
              <w:t xml:space="preserve">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0000ff"/>
                  <w:sz w:val="22"/>
                  <w:szCs w:val="22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sz w:val="22"/>
                <w:szCs w:val="22"/>
                <w:rtl w:val="0"/>
              </w:rPr>
              <w:t xml:space="preserve">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NJSLS)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(See pgs.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0000ff"/>
                  <w:sz w:val="22"/>
                  <w:szCs w:val="22"/>
                  <w:u w:val="single"/>
                  <w:rtl w:val="0"/>
                </w:rPr>
                <w:t xml:space="preserve">20-34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000000"/>
                  <w:sz w:val="22"/>
                  <w:szCs w:val="22"/>
                  <w:u w:val="single"/>
                  <w:rtl w:val="0"/>
                </w:rPr>
                <w:t xml:space="preserve">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 includes core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ideas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 and performance expectations which are useful for designing general goals, specific objectives, and learning criteria down below)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The enduring understanding(s) and/or essential question(s) that guide the lesson.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OVERARCHING ESSENTIAL QUESTIONS I. How is mathematics used to quantify and compare situations, events, and phenomena? II. What 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ff"/>
                <w:sz w:val="22"/>
                <w:szCs w:val="22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(What prior knowledge, skills,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27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Multiple means of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70c0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Multiple means of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70c0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Multiple Means of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70c0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learners' needs through UDL, what individual adaptations will you use to meet your focus learners'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learning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Include Core Ideas and Concepts, and CS Practices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(What will be the pre-assessment, formative, or summative assessment(s) in this lesson?)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materials and technology will students need?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2"/>
                <w:szCs w:val="22"/>
                <w:rtl w:val="0"/>
              </w:rPr>
              <w:t xml:space="preserve">(Should reflect the UDL planned supports identified above)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“I do” “We do” “You do” How will you explain/ demonstrate the knowledge /skills required for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7" w:type="default"/>
      <w:headerReference r:id="rId18" w:type="even"/>
      <w:footerReference r:id="rId19" w:type="default"/>
      <w:footerReference r:id="rId20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becca Goldstein" w:id="0" w:date="2023-01-04T23:03:13Z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makes sense to add above, using Universal Design as the context for DEI, and UDL is the pedagogical theory and practice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important is us to work from a funds of knowledge perspective (Luis Moll's work) and Assets-based Pedagogies (Tara Yosso's work)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nj.gov/education/cccs/2020/2020%20NJSLS-CSDT.pdf" TargetMode="External"/><Relationship Id="rId10" Type="http://schemas.openxmlformats.org/officeDocument/2006/relationships/hyperlink" Target="https://www.nj.gov/education/cccs/2020/2020%20NJSLS-CSDT.pdf" TargetMode="External"/><Relationship Id="rId13" Type="http://schemas.openxmlformats.org/officeDocument/2006/relationships/hyperlink" Target="https://jaymctighe.com/downloads/Essential-Questions-in-Mathematics.pdf" TargetMode="External"/><Relationship Id="rId12" Type="http://schemas.openxmlformats.org/officeDocument/2006/relationships/hyperlink" Target="https://www.nj.gov/education/cccs/2020/2020%20NJSLS-CSDT.pdf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yperlink" Target="https://udlguidelines.cast.org/action-expression" TargetMode="External"/><Relationship Id="rId14" Type="http://schemas.openxmlformats.org/officeDocument/2006/relationships/hyperlink" Target="https://udlguidelines.cast.org/representation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udlguidelines.cast.org/engagement/?utm_source=castsite&amp;utm_medium=web&amp;utm_campaign=none&amp;utm_content=aboutudl" TargetMode="External"/><Relationship Id="rId5" Type="http://schemas.openxmlformats.org/officeDocument/2006/relationships/numbering" Target="numbering.xml"/><Relationship Id="rId19" Type="http://schemas.openxmlformats.org/officeDocument/2006/relationships/footer" Target="footer2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B61W/zBtUI35pJ2s9trvqejJw==">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2023-01-04T20:55:00Z</dcterms:created>
  <dc:creator>Shin</dc:creator>
</cp:coreProperties>
</file>