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DB" w:rsidRDefault="008F2BEE">
      <w:pPr>
        <w:spacing w:before="54"/>
        <w:ind w:left="648"/>
        <w:rPr>
          <w:rFonts w:ascii="Cambria" w:eastAsia="Cambria" w:hAnsi="Cambria" w:cs="Cambria"/>
          <w:sz w:val="32"/>
          <w:szCs w:val="32"/>
        </w:rPr>
      </w:pPr>
      <w:bookmarkStart w:id="0" w:name="PROCUREMENT_POLICY/PROCEDURE_#6"/>
      <w:bookmarkEnd w:id="0"/>
      <w:r>
        <w:rPr>
          <w:rFonts w:ascii="Cambria"/>
          <w:b/>
          <w:spacing w:val="-3"/>
          <w:sz w:val="32"/>
        </w:rPr>
        <w:t>DRAFT</w:t>
      </w:r>
      <w:r>
        <w:rPr>
          <w:rFonts w:ascii="Cambria"/>
          <w:b/>
          <w:spacing w:val="-34"/>
          <w:sz w:val="32"/>
        </w:rPr>
        <w:t xml:space="preserve"> </w:t>
      </w:r>
      <w:r>
        <w:rPr>
          <w:rFonts w:ascii="Cambria"/>
          <w:b/>
          <w:spacing w:val="-3"/>
          <w:sz w:val="32"/>
        </w:rPr>
        <w:t>PROCUREMENT</w:t>
      </w:r>
      <w:r>
        <w:rPr>
          <w:rFonts w:ascii="Cambria"/>
          <w:b/>
          <w:spacing w:val="-49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POLICY/PROCEDURE</w:t>
      </w:r>
      <w:r>
        <w:rPr>
          <w:rFonts w:ascii="Cambria"/>
          <w:b/>
          <w:spacing w:val="-47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#6</w:t>
      </w:r>
    </w:p>
    <w:p w:rsidR="00E117DB" w:rsidRDefault="008F2BEE">
      <w:pPr>
        <w:pStyle w:val="Heading1"/>
        <w:spacing w:before="55"/>
        <w:ind w:left="648"/>
        <w:rPr>
          <w:rFonts w:cs="Times New Roman"/>
          <w:b w:val="0"/>
          <w:bCs w:val="0"/>
        </w:rPr>
      </w:pPr>
      <w:bookmarkStart w:id="1" w:name="DATE:_MAY_2008"/>
      <w:bookmarkEnd w:id="1"/>
      <w:r>
        <w:rPr>
          <w:spacing w:val="-1"/>
        </w:rPr>
        <w:t>DATE:</w:t>
      </w:r>
      <w:r>
        <w:rPr>
          <w:spacing w:val="-4"/>
        </w:rPr>
        <w:t xml:space="preserve"> </w:t>
      </w:r>
      <w:r>
        <w:rPr>
          <w:spacing w:val="-3"/>
        </w:rPr>
        <w:t>MARCH</w:t>
      </w:r>
      <w:r>
        <w:rPr>
          <w:spacing w:val="-6"/>
        </w:rPr>
        <w:t xml:space="preserve"> </w:t>
      </w:r>
      <w:r>
        <w:t>2019</w:t>
      </w:r>
    </w:p>
    <w:p w:rsidR="00E117DB" w:rsidRDefault="00E117DB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117DB" w:rsidRDefault="008F2BEE">
      <w:pPr>
        <w:spacing w:line="448" w:lineRule="auto"/>
        <w:ind w:left="640" w:right="1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FROM: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DIVISION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FINANCE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TREASURY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PROCUREMENT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SERVICES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SUBJECT:</w:t>
      </w:r>
      <w:r>
        <w:rPr>
          <w:rFonts w:ascii="Times New Roman"/>
          <w:b/>
          <w:spacing w:val="-12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INFORMATION</w:t>
      </w:r>
      <w:r>
        <w:rPr>
          <w:rFonts w:ascii="Times New Roman"/>
          <w:b/>
          <w:spacing w:val="-11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TECHNOLOGY</w:t>
      </w:r>
      <w:r>
        <w:rPr>
          <w:rFonts w:ascii="Times New Roman"/>
          <w:b/>
          <w:spacing w:val="-13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PURCHASES</w:t>
      </w:r>
    </w:p>
    <w:p w:rsidR="00E117DB" w:rsidRDefault="008F2BEE">
      <w:pPr>
        <w:pStyle w:val="BodyText"/>
        <w:spacing w:before="44"/>
        <w:ind w:left="121" w:right="105"/>
        <w:rPr>
          <w:rFonts w:cs="Times New Roman"/>
        </w:rPr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lease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567195">
        <w:rPr>
          <w:spacing w:val="-6"/>
        </w:rPr>
        <w:t xml:space="preserve">information technology </w:t>
      </w:r>
      <w:r>
        <w:t>equipment,</w:t>
      </w:r>
      <w:r>
        <w:rPr>
          <w:spacing w:val="-6"/>
        </w:rPr>
        <w:t xml:space="preserve"> </w:t>
      </w:r>
      <w:r>
        <w:rPr>
          <w:spacing w:val="-1"/>
        </w:rPr>
        <w:t>software,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t xml:space="preserve"> must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18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Vice</w:t>
      </w:r>
      <w:r>
        <w:rPr>
          <w:spacing w:val="-6"/>
        </w:rPr>
        <w:t xml:space="preserve"> </w:t>
      </w:r>
      <w:r>
        <w:rPr>
          <w:spacing w:val="-4"/>
        </w:rPr>
        <w:t>President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the Office of </w:t>
      </w:r>
      <w:r>
        <w:t>Information</w:t>
      </w:r>
      <w:r>
        <w:rPr>
          <w:spacing w:val="-5"/>
        </w:rPr>
        <w:t xml:space="preserve"> </w:t>
      </w:r>
      <w:r>
        <w:t>Technology</w:t>
      </w:r>
      <w:r>
        <w:rPr>
          <w:spacing w:val="-1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designee (“OIT”).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requests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requisitions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lease</w:t>
      </w:r>
      <w:r>
        <w:rPr>
          <w:spacing w:val="-6"/>
        </w:rPr>
        <w:t xml:space="preserve"> </w:t>
      </w:r>
      <w:r>
        <w:t>of</w:t>
      </w:r>
      <w:r w:rsidR="00AB442C">
        <w:t xml:space="preserve"> information technology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5"/>
        </w:rPr>
        <w:t xml:space="preserve"> </w:t>
      </w:r>
      <w:r>
        <w:t>Procurement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2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prior</w:t>
      </w:r>
      <w:r>
        <w:rPr>
          <w:spacing w:val="-4"/>
        </w:rPr>
        <w:t xml:space="preserve"> OIT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forwarded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OIT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-15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Procurement</w:t>
      </w:r>
      <w:r>
        <w:rPr>
          <w:spacing w:val="-7"/>
        </w:rPr>
        <w:t xml:space="preserve"> </w:t>
      </w:r>
      <w:r>
        <w:rPr>
          <w:spacing w:val="-1"/>
        </w:rPr>
        <w:t>Services.</w:t>
      </w:r>
      <w:bookmarkStart w:id="2" w:name="_GoBack"/>
      <w:bookmarkEnd w:id="2"/>
    </w:p>
    <w:p w:rsidR="00E117DB" w:rsidRDefault="00621AA9">
      <w:pPr>
        <w:pStyle w:val="BodyText"/>
        <w:spacing w:before="160" w:line="250" w:lineRule="auto"/>
        <w:ind w:left="114" w:right="105"/>
      </w:pPr>
      <w:r>
        <w:t>OIT requires i</w:t>
      </w:r>
      <w:r w:rsidR="00D07AAF">
        <w:t xml:space="preserve">nformation technology that </w:t>
      </w:r>
      <w:r w:rsidR="003A2CE3">
        <w:t xml:space="preserve">provides on-line courses and programs, communications, </w:t>
      </w:r>
      <w:r w:rsidR="00D07AAF">
        <w:t xml:space="preserve">or other </w:t>
      </w:r>
      <w:r w:rsidR="003A2CE3">
        <w:t>services and activities through the University</w:t>
      </w:r>
      <w:r w:rsidR="00D07AAF">
        <w:t>’s</w:t>
      </w:r>
      <w:r w:rsidR="003A2CE3">
        <w:t xml:space="preserve"> website, webpages, subordinated intranet pages </w:t>
      </w:r>
      <w:r w:rsidR="00AB442C">
        <w:t xml:space="preserve">or </w:t>
      </w:r>
      <w:r>
        <w:t>enterprise</w:t>
      </w:r>
      <w:r w:rsidR="003A2CE3">
        <w:t xml:space="preserve"> applications </w:t>
      </w:r>
      <w:r>
        <w:t xml:space="preserve">to </w:t>
      </w:r>
      <w:r w:rsidR="00D07AAF">
        <w:t xml:space="preserve">be </w:t>
      </w:r>
      <w:r w:rsidR="00567195">
        <w:t>accessible by persons with disabilities</w:t>
      </w:r>
      <w:r w:rsidR="003A2CE3">
        <w:t xml:space="preserve"> in accordance with the </w:t>
      </w:r>
      <w:r w:rsidR="00D07AAF">
        <w:t>World</w:t>
      </w:r>
      <w:r w:rsidR="00D07AAF">
        <w:rPr>
          <w:spacing w:val="-1"/>
        </w:rPr>
        <w:t xml:space="preserve"> </w:t>
      </w:r>
      <w:r w:rsidR="00D07AAF">
        <w:t>Wide</w:t>
      </w:r>
      <w:r w:rsidR="00D07AAF">
        <w:rPr>
          <w:spacing w:val="-2"/>
        </w:rPr>
        <w:t xml:space="preserve"> </w:t>
      </w:r>
      <w:r w:rsidR="00D07AAF">
        <w:t>Web</w:t>
      </w:r>
      <w:r w:rsidR="00D07AAF">
        <w:rPr>
          <w:spacing w:val="-1"/>
        </w:rPr>
        <w:t xml:space="preserve"> </w:t>
      </w:r>
      <w:r w:rsidR="00D07AAF">
        <w:t xml:space="preserve">Consortium’s </w:t>
      </w:r>
      <w:hyperlink r:id="rId5" w:history="1">
        <w:r w:rsidR="00D07AAF" w:rsidRPr="00D95461">
          <w:rPr>
            <w:rStyle w:val="Hyperlink"/>
          </w:rPr>
          <w:t>Web</w:t>
        </w:r>
        <w:r w:rsidR="00D07AAF" w:rsidRPr="00D95461">
          <w:rPr>
            <w:rStyle w:val="Hyperlink"/>
            <w:spacing w:val="-1"/>
          </w:rPr>
          <w:t xml:space="preserve"> </w:t>
        </w:r>
        <w:r w:rsidR="00D07AAF" w:rsidRPr="00D95461">
          <w:rPr>
            <w:rStyle w:val="Hyperlink"/>
          </w:rPr>
          <w:t>Content Accessibili</w:t>
        </w:r>
        <w:r w:rsidR="00D07AAF" w:rsidRPr="00D95461">
          <w:rPr>
            <w:rStyle w:val="Hyperlink"/>
          </w:rPr>
          <w:t>t</w:t>
        </w:r>
        <w:r w:rsidR="00D07AAF" w:rsidRPr="00D95461">
          <w:rPr>
            <w:rStyle w:val="Hyperlink"/>
          </w:rPr>
          <w:t>y</w:t>
        </w:r>
        <w:r w:rsidR="00D07AAF" w:rsidRPr="00D95461">
          <w:rPr>
            <w:rStyle w:val="Hyperlink"/>
            <w:spacing w:val="1"/>
          </w:rPr>
          <w:t xml:space="preserve"> </w:t>
        </w:r>
        <w:r w:rsidR="00D07AAF" w:rsidRPr="00D95461">
          <w:rPr>
            <w:rStyle w:val="Hyperlink"/>
          </w:rPr>
          <w:t>Guidelines 2.0</w:t>
        </w:r>
      </w:hyperlink>
      <w:r w:rsidR="00D07AAF">
        <w:t>,</w:t>
      </w:r>
      <w:r w:rsidR="00D07AAF">
        <w:rPr>
          <w:spacing w:val="-2"/>
        </w:rPr>
        <w:t xml:space="preserve"> </w:t>
      </w:r>
      <w:r w:rsidR="00D07AAF">
        <w:t>Level</w:t>
      </w:r>
      <w:r w:rsidR="00D07AAF">
        <w:rPr>
          <w:spacing w:val="32"/>
        </w:rPr>
        <w:t xml:space="preserve"> </w:t>
      </w:r>
      <w:r w:rsidR="00D07AAF">
        <w:t>AA</w:t>
      </w:r>
      <w:r w:rsidR="00D07AAF">
        <w:rPr>
          <w:spacing w:val="-1"/>
        </w:rPr>
        <w:t xml:space="preserve"> </w:t>
      </w:r>
      <w:r w:rsidR="00D07AAF">
        <w:t>criteria (“WCAG”)</w:t>
      </w:r>
      <w:r w:rsidR="00567195">
        <w:t xml:space="preserve">.  </w:t>
      </w:r>
      <w:r w:rsidR="00D07AAF">
        <w:t xml:space="preserve">The </w:t>
      </w:r>
      <w:r w:rsidR="00D07AAF" w:rsidRPr="00621AA9">
        <w:rPr>
          <w:b/>
        </w:rPr>
        <w:t>purchasing unit</w:t>
      </w:r>
      <w:r w:rsidR="00D07AAF">
        <w:t xml:space="preserve"> is responsible for verifying information technology complies with WCAG.  </w:t>
      </w:r>
      <w:r w:rsidR="000C6CC2">
        <w:t xml:space="preserve">WCAG requires information technology to be: a) perceivable (alternative text for visual impairments or closed captioning); b) operable (functional without the use of a mouse); c) understandable (functional with screen readers and closed captioning) and d) robust (accessible using a wide range of assistive technologies).  </w:t>
      </w:r>
      <w:r w:rsidR="00D07AAF">
        <w:t xml:space="preserve">The purchasing unit </w:t>
      </w:r>
      <w:r w:rsidR="000C6CC2">
        <w:t>must verify</w:t>
      </w:r>
      <w:r w:rsidR="00AB442C">
        <w:t xml:space="preserve"> compliance </w:t>
      </w:r>
      <w:r w:rsidR="000C6CC2">
        <w:t>with WCAG by requesting the vendor provide either</w:t>
      </w:r>
      <w:r w:rsidR="00AB442C">
        <w:t xml:space="preserve">: a) a </w:t>
      </w:r>
      <w:r w:rsidR="008F2BEE">
        <w:t>Voluntary Product Assessment Template (“VPAT”)</w:t>
      </w:r>
      <w:r w:rsidR="00AB442C">
        <w:t xml:space="preserve"> that demonstrates </w:t>
      </w:r>
      <w:r w:rsidR="000C6CC2">
        <w:t xml:space="preserve">compliance </w:t>
      </w:r>
      <w:r w:rsidR="00AB442C">
        <w:t xml:space="preserve">with WCAG, or </w:t>
      </w:r>
      <w:r w:rsidR="00010F5E">
        <w:t xml:space="preserve">b) an audit prepared by the vendor or a third party demonstrating </w:t>
      </w:r>
      <w:r w:rsidR="003F2B0F">
        <w:t xml:space="preserve">accessibility </w:t>
      </w:r>
      <w:r w:rsidR="00010F5E">
        <w:t xml:space="preserve">by persons with disabilities; or </w:t>
      </w:r>
      <w:r w:rsidR="00AB442C">
        <w:t>c) other appropriate documentation</w:t>
      </w:r>
      <w:r w:rsidR="008F2BEE">
        <w:t xml:space="preserve">. </w:t>
      </w:r>
      <w:r>
        <w:t xml:space="preserve"> </w:t>
      </w:r>
      <w:r w:rsidR="008F2BEE">
        <w:t>The</w:t>
      </w:r>
      <w:r w:rsidR="000C6CC2">
        <w:t xml:space="preserve"> purchasing unit must retain the </w:t>
      </w:r>
      <w:r w:rsidR="008F2BEE">
        <w:t xml:space="preserve">documentation </w:t>
      </w:r>
      <w:r w:rsidR="000C6CC2">
        <w:t>provided by the vendor</w:t>
      </w:r>
      <w:r w:rsidR="003F2B0F">
        <w:t xml:space="preserve"> as part of the procurement process</w:t>
      </w:r>
      <w:r>
        <w:t>, and provide a copy to OIT or Procurement Services upon request</w:t>
      </w:r>
      <w:r w:rsidR="008F2BEE">
        <w:t>.</w:t>
      </w:r>
      <w:r w:rsidR="00AB442C">
        <w:t xml:space="preserve">  </w:t>
      </w:r>
      <w:r>
        <w:t xml:space="preserve">Information technology that does not comply with WCAG will not be approved by OIT.  </w:t>
      </w:r>
    </w:p>
    <w:p w:rsidR="00E117DB" w:rsidRPr="00621AA9" w:rsidRDefault="000C6CC2" w:rsidP="00621AA9">
      <w:pPr>
        <w:pStyle w:val="BodyText"/>
        <w:spacing w:before="160" w:line="250" w:lineRule="auto"/>
        <w:ind w:left="114" w:right="105"/>
      </w:pPr>
      <w:r>
        <w:t xml:space="preserve">Unless otherwise approved by University Counsel, contracts </w:t>
      </w:r>
      <w:r w:rsidR="00621AA9">
        <w:t xml:space="preserve">to purchase information technology must impose an obligation upon the vendor to comply with </w:t>
      </w:r>
      <w:r w:rsidR="008F2BEE">
        <w:rPr>
          <w:spacing w:val="-1"/>
        </w:rPr>
        <w:t>all</w:t>
      </w:r>
      <w:r w:rsidR="008F2BEE">
        <w:rPr>
          <w:spacing w:val="-3"/>
        </w:rPr>
        <w:t xml:space="preserve"> </w:t>
      </w:r>
      <w:r w:rsidR="008F2BEE">
        <w:rPr>
          <w:spacing w:val="-1"/>
        </w:rPr>
        <w:t>provisions</w:t>
      </w:r>
      <w:r w:rsidR="008F2BEE">
        <w:rPr>
          <w:spacing w:val="-2"/>
        </w:rPr>
        <w:t xml:space="preserve"> </w:t>
      </w:r>
      <w:r w:rsidR="008F2BEE">
        <w:rPr>
          <w:spacing w:val="-1"/>
        </w:rPr>
        <w:t>of</w:t>
      </w:r>
      <w:r w:rsidR="008F2BEE">
        <w:rPr>
          <w:spacing w:val="-3"/>
        </w:rPr>
        <w:t xml:space="preserve"> </w:t>
      </w:r>
      <w:r w:rsidR="008F2BEE">
        <w:rPr>
          <w:spacing w:val="-1"/>
        </w:rPr>
        <w:t>the</w:t>
      </w:r>
      <w:r w:rsidR="008F2BEE">
        <w:rPr>
          <w:spacing w:val="24"/>
        </w:rPr>
        <w:t xml:space="preserve"> </w:t>
      </w:r>
      <w:r w:rsidR="008F2BEE">
        <w:rPr>
          <w:spacing w:val="-1"/>
        </w:rPr>
        <w:t>Americans</w:t>
      </w:r>
      <w:r w:rsidR="008F2BEE">
        <w:t xml:space="preserve"> </w:t>
      </w:r>
      <w:r w:rsidR="008F2BEE">
        <w:rPr>
          <w:spacing w:val="-1"/>
        </w:rPr>
        <w:t>with Disabilities</w:t>
      </w:r>
      <w:r w:rsidR="008F2BEE">
        <w:rPr>
          <w:spacing w:val="-3"/>
        </w:rPr>
        <w:t xml:space="preserve"> </w:t>
      </w:r>
      <w:r w:rsidR="008F2BEE">
        <w:rPr>
          <w:spacing w:val="-1"/>
        </w:rPr>
        <w:t>Act</w:t>
      </w:r>
      <w:r w:rsidR="00621AA9">
        <w:rPr>
          <w:spacing w:val="-1"/>
        </w:rPr>
        <w:t xml:space="preserve"> and WCAG.</w:t>
      </w:r>
    </w:p>
    <w:p w:rsidR="00E117DB" w:rsidRDefault="00E117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2B0F" w:rsidRDefault="003F2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7DB" w:rsidRDefault="003F2B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Related Policies:  </w:t>
      </w:r>
      <w:hyperlink r:id="rId6" w:history="1">
        <w:r w:rsidRPr="00D954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Montclair State University Digital Accessibi</w:t>
        </w:r>
        <w:r w:rsidRPr="00D954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00D954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ity Policy</w:t>
        </w:r>
      </w:hyperlink>
    </w:p>
    <w:p w:rsidR="00E117DB" w:rsidRDefault="00E117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7DB" w:rsidRDefault="00E117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7DB" w:rsidRDefault="00E117DB" w:rsidP="00B6691C">
      <w:pPr>
        <w:pStyle w:val="BodyText"/>
        <w:spacing w:before="167"/>
        <w:ind w:left="4471" w:right="4637"/>
        <w:jc w:val="center"/>
      </w:pPr>
    </w:p>
    <w:sectPr w:rsidR="00E117DB" w:rsidSect="00B6691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B6092"/>
    <w:multiLevelType w:val="multilevel"/>
    <w:tmpl w:val="AD62004A"/>
    <w:lvl w:ilvl="0">
      <w:start w:val="3"/>
      <w:numFmt w:val="upperLetter"/>
      <w:lvlText w:val="%1"/>
      <w:lvlJc w:val="left"/>
      <w:pPr>
        <w:ind w:left="118" w:hanging="691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118" w:hanging="691"/>
        <w:jc w:val="left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118" w:hanging="69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"/>
      <w:lvlJc w:val="left"/>
      <w:pPr>
        <w:ind w:left="1011" w:hanging="362"/>
      </w:pPr>
      <w:rPr>
        <w:rFonts w:ascii="Symbol" w:eastAsia="Symbol" w:hAnsi="Symbol" w:hint="default"/>
        <w:position w:val="2"/>
        <w:sz w:val="22"/>
        <w:szCs w:val="22"/>
      </w:rPr>
    </w:lvl>
    <w:lvl w:ilvl="4">
      <w:start w:val="1"/>
      <w:numFmt w:val="bullet"/>
      <w:lvlText w:val="o"/>
      <w:lvlJc w:val="left"/>
      <w:pPr>
        <w:ind w:left="1729" w:hanging="308"/>
      </w:pPr>
      <w:rPr>
        <w:rFonts w:ascii="Courier New" w:eastAsia="Courier New" w:hAnsi="Courier New" w:hint="default"/>
        <w:position w:val="-2"/>
        <w:sz w:val="22"/>
        <w:szCs w:val="22"/>
      </w:rPr>
    </w:lvl>
    <w:lvl w:ilvl="5">
      <w:start w:val="1"/>
      <w:numFmt w:val="bullet"/>
      <w:lvlText w:val=""/>
      <w:lvlJc w:val="left"/>
      <w:pPr>
        <w:ind w:left="2361" w:hanging="361"/>
      </w:pPr>
      <w:rPr>
        <w:rFonts w:ascii="Wingdings" w:eastAsia="Wingdings" w:hAnsi="Wingdings" w:hint="default"/>
        <w:position w:val="2"/>
        <w:sz w:val="22"/>
        <w:szCs w:val="22"/>
      </w:rPr>
    </w:lvl>
    <w:lvl w:ilvl="6">
      <w:start w:val="1"/>
      <w:numFmt w:val="bullet"/>
      <w:lvlText w:val="•"/>
      <w:lvlJc w:val="left"/>
      <w:pPr>
        <w:ind w:left="59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DB"/>
    <w:rsid w:val="00010F5E"/>
    <w:rsid w:val="000C6CC2"/>
    <w:rsid w:val="003A2CE3"/>
    <w:rsid w:val="003F2B0F"/>
    <w:rsid w:val="00567195"/>
    <w:rsid w:val="00621AA9"/>
    <w:rsid w:val="00730F36"/>
    <w:rsid w:val="008F2BEE"/>
    <w:rsid w:val="00A46640"/>
    <w:rsid w:val="00AB442C"/>
    <w:rsid w:val="00B2708A"/>
    <w:rsid w:val="00B6691C"/>
    <w:rsid w:val="00BD5A26"/>
    <w:rsid w:val="00D07AAF"/>
    <w:rsid w:val="00D95461"/>
    <w:rsid w:val="00D95973"/>
    <w:rsid w:val="00E1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56C48-C43C-419A-9AD3-6ACF9FA8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2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4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tclair.edu/digital-accessibility-initiative/wp-content/uploads/sites/51/2017/12/MSU-Accessibility-Policy-v6-11-9-17-clean.docx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POLICIES</vt:lpstr>
    </vt:vector>
  </TitlesOfParts>
  <Company>Montclair State University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POLICIES</dc:title>
  <dc:creator>user</dc:creator>
  <cp:lastModifiedBy>Maurice Willoughby</cp:lastModifiedBy>
  <cp:revision>2</cp:revision>
  <dcterms:created xsi:type="dcterms:W3CDTF">2019-03-29T14:22:00Z</dcterms:created>
  <dcterms:modified xsi:type="dcterms:W3CDTF">2019-03-29T14:22:00Z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LastSaved">
    <vt:filetime>2019-02-22T00:00:00Z</vt:filetime>
  </property>
</Properties>
</file>