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F2" w:rsidRDefault="00304023">
      <w:pPr>
        <w:spacing w:after="47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E34F2" w:rsidRDefault="00304023">
      <w:pPr>
        <w:spacing w:after="11" w:line="249" w:lineRule="auto"/>
        <w:ind w:left="10" w:right="2" w:hanging="10"/>
        <w:jc w:val="center"/>
      </w:pPr>
      <w:r>
        <w:rPr>
          <w:b/>
          <w:sz w:val="28"/>
        </w:rPr>
        <w:t xml:space="preserve">MONTCLAIR STATE UNIVERSITY </w:t>
      </w:r>
    </w:p>
    <w:p w:rsidR="007E34F2" w:rsidRDefault="00304023">
      <w:pPr>
        <w:spacing w:after="11" w:line="249" w:lineRule="auto"/>
        <w:ind w:left="10" w:hanging="10"/>
        <w:jc w:val="center"/>
      </w:pPr>
      <w:r>
        <w:rPr>
          <w:b/>
          <w:sz w:val="28"/>
        </w:rPr>
        <w:t xml:space="preserve">POLICY AND PROCESS REGARDING USE OF </w:t>
      </w:r>
    </w:p>
    <w:p w:rsidR="007E34F2" w:rsidRDefault="00304023">
      <w:pPr>
        <w:spacing w:after="11" w:line="249" w:lineRule="auto"/>
        <w:ind w:left="10" w:hanging="10"/>
        <w:jc w:val="center"/>
      </w:pPr>
      <w:r>
        <w:rPr>
          <w:b/>
          <w:sz w:val="28"/>
        </w:rPr>
        <w:t>MATERIALS TRANSFER AGREEMENTS AND CONFIDENTIALITY AGREEMENTS</w:t>
      </w:r>
      <w:r>
        <w:rPr>
          <w:sz w:val="28"/>
        </w:rPr>
        <w:t xml:space="preserve"> </w:t>
      </w:r>
    </w:p>
    <w:p w:rsidR="007E34F2" w:rsidRDefault="00304023">
      <w:pPr>
        <w:spacing w:after="3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065" cy="27432"/>
                <wp:effectExtent l="0" t="0" r="0" b="0"/>
                <wp:docPr id="1833" name="Group 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27432"/>
                          <a:chOff x="0" y="0"/>
                          <a:chExt cx="5981065" cy="27432"/>
                        </a:xfrm>
                      </wpg:grpSpPr>
                      <wps:wsp>
                        <wps:cNvPr id="2143" name="Shape 2143"/>
                        <wps:cNvSpPr/>
                        <wps:spPr>
                          <a:xfrm>
                            <a:off x="0" y="18288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" style="width:470.95pt;height:2.15997pt;mso-position-horizontal-relative:char;mso-position-vertical-relative:line" coordsize="59810,274">
                <v:shape id="Shape 2145" style="position:absolute;width:59810;height:91;left:0;top:182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  <v:shape id="Shape 2146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E34F2" w:rsidRDefault="00304023">
      <w:pPr>
        <w:spacing w:line="259" w:lineRule="auto"/>
        <w:ind w:left="61" w:firstLine="0"/>
        <w:jc w:val="center"/>
      </w:pPr>
      <w:r>
        <w:rPr>
          <w:b/>
        </w:rPr>
        <w:t xml:space="preserve"> </w:t>
      </w:r>
    </w:p>
    <w:p w:rsidR="007E34F2" w:rsidRDefault="00304023">
      <w:pPr>
        <w:pStyle w:val="Heading1"/>
      </w:pPr>
      <w:r>
        <w:t>BACKGROUND</w:t>
      </w:r>
      <w:r>
        <w:rPr>
          <w:u w:val="none"/>
        </w:rPr>
        <w:t xml:space="preserve"> </w:t>
      </w:r>
    </w:p>
    <w:p w:rsidR="007E34F2" w:rsidRDefault="00304023">
      <w:pPr>
        <w:spacing w:line="259" w:lineRule="auto"/>
        <w:ind w:left="0" w:firstLine="0"/>
      </w:pPr>
      <w:r>
        <w:t xml:space="preserve"> </w:t>
      </w:r>
    </w:p>
    <w:p w:rsidR="007E34F2" w:rsidRDefault="00304023">
      <w:pPr>
        <w:ind w:left="0" w:firstLine="0"/>
      </w:pPr>
      <w:r>
        <w:t xml:space="preserve">A Material Transfer Agreement (“MTA”) must be signed by all parties </w:t>
      </w:r>
      <w:r>
        <w:rPr>
          <w:u w:val="single" w:color="000000"/>
        </w:rPr>
        <w:t>before</w:t>
      </w:r>
      <w:r>
        <w:t xml:space="preserve"> </w:t>
      </w:r>
      <w:r>
        <w:t>the exchange of Biological Materials.  Often, the MTA must be preceded by the negotiation and approval of a Confidential Disclosure Agreement (“CDA”).  All University employees must obtain a signed CDA before discussing an invention within anyone outside o</w:t>
      </w:r>
      <w:r>
        <w:t xml:space="preserve">f the University, disclosing sensitive information, or exchanging biological materials developed or refined in the University laboratory.  INVENTORS SHOULD NEVER RELY ON OR ANTICIPATE THAT A COURT WILL ENFORCE AN ORAL AGREEMENT.   </w:t>
      </w:r>
    </w:p>
    <w:p w:rsidR="007E34F2" w:rsidRDefault="00304023">
      <w:pPr>
        <w:spacing w:line="259" w:lineRule="auto"/>
        <w:ind w:left="0" w:firstLine="0"/>
      </w:pPr>
      <w:r>
        <w:t xml:space="preserve"> </w:t>
      </w:r>
    </w:p>
    <w:p w:rsidR="007E34F2" w:rsidRDefault="00304023">
      <w:pPr>
        <w:ind w:left="0" w:firstLine="0"/>
      </w:pPr>
      <w:r>
        <w:t>There are 2 types of M</w:t>
      </w:r>
      <w:r>
        <w:t xml:space="preserve">TAs: </w:t>
      </w:r>
    </w:p>
    <w:p w:rsidR="007E34F2" w:rsidRDefault="00304023">
      <w:pPr>
        <w:spacing w:after="12" w:line="259" w:lineRule="auto"/>
        <w:ind w:left="0" w:firstLine="0"/>
      </w:pPr>
      <w:r>
        <w:t xml:space="preserve"> </w:t>
      </w:r>
    </w:p>
    <w:p w:rsidR="007E34F2" w:rsidRDefault="00304023">
      <w:pPr>
        <w:numPr>
          <w:ilvl w:val="0"/>
          <w:numId w:val="1"/>
        </w:numPr>
        <w:ind w:hanging="360"/>
      </w:pPr>
      <w:r>
        <w:rPr>
          <w:u w:val="single" w:color="000000"/>
        </w:rPr>
        <w:t xml:space="preserve">For-profit MTA </w:t>
      </w:r>
      <w:r>
        <w:t xml:space="preserve">is used when sending Biological Material to a for-profit or commercial entity.  </w:t>
      </w:r>
    </w:p>
    <w:p w:rsidR="007E34F2" w:rsidRDefault="00304023">
      <w:pPr>
        <w:spacing w:after="12" w:line="259" w:lineRule="auto"/>
        <w:ind w:left="46" w:firstLine="0"/>
      </w:pPr>
      <w:r>
        <w:t xml:space="preserve"> </w:t>
      </w:r>
    </w:p>
    <w:p w:rsidR="007E34F2" w:rsidRDefault="00304023">
      <w:pPr>
        <w:numPr>
          <w:ilvl w:val="0"/>
          <w:numId w:val="1"/>
        </w:numPr>
        <w:ind w:hanging="360"/>
      </w:pPr>
      <w:r>
        <w:rPr>
          <w:u w:val="single" w:color="000000"/>
        </w:rPr>
        <w:t>Non-profit MTA</w:t>
      </w:r>
      <w:r>
        <w:t xml:space="preserve"> is used when sending Biological Material to a non-profit organization, such as universities and/or research laboratories. </w:t>
      </w:r>
    </w:p>
    <w:p w:rsidR="007E34F2" w:rsidRDefault="00304023">
      <w:pPr>
        <w:spacing w:after="176" w:line="259" w:lineRule="auto"/>
        <w:ind w:left="720" w:firstLine="0"/>
      </w:pPr>
      <w:r>
        <w:t xml:space="preserve"> </w:t>
      </w:r>
    </w:p>
    <w:p w:rsidR="007E34F2" w:rsidRDefault="00304023">
      <w:pPr>
        <w:ind w:left="0" w:firstLine="0"/>
      </w:pPr>
      <w:r>
        <w:t xml:space="preserve">There are 2 types of CDAs: </w:t>
      </w:r>
    </w:p>
    <w:p w:rsidR="007E34F2" w:rsidRDefault="00304023">
      <w:pPr>
        <w:spacing w:after="9" w:line="259" w:lineRule="auto"/>
        <w:ind w:left="0" w:firstLine="0"/>
      </w:pPr>
      <w:r>
        <w:t xml:space="preserve"> </w:t>
      </w:r>
    </w:p>
    <w:p w:rsidR="007E34F2" w:rsidRDefault="00304023">
      <w:pPr>
        <w:numPr>
          <w:ilvl w:val="1"/>
          <w:numId w:val="1"/>
        </w:numPr>
        <w:ind w:hanging="360"/>
      </w:pPr>
      <w:r>
        <w:rPr>
          <w:u w:val="single" w:color="000000"/>
        </w:rPr>
        <w:t>One-Way CDA</w:t>
      </w:r>
      <w:r>
        <w:t xml:space="preserve"> is used when only one party is receiving confidential information. </w:t>
      </w:r>
    </w:p>
    <w:p w:rsidR="007E34F2" w:rsidRDefault="00304023">
      <w:pPr>
        <w:spacing w:after="9" w:line="259" w:lineRule="auto"/>
        <w:ind w:left="1080" w:firstLine="0"/>
      </w:pPr>
      <w:r>
        <w:t xml:space="preserve"> </w:t>
      </w:r>
    </w:p>
    <w:p w:rsidR="007E34F2" w:rsidRDefault="00304023">
      <w:pPr>
        <w:numPr>
          <w:ilvl w:val="1"/>
          <w:numId w:val="1"/>
        </w:numPr>
        <w:ind w:hanging="360"/>
      </w:pPr>
      <w:r>
        <w:rPr>
          <w:u w:val="single" w:color="000000"/>
        </w:rPr>
        <w:t>Mutual CDA</w:t>
      </w:r>
      <w:r>
        <w:t xml:space="preserve"> is used when both parties will be receiving confidential information. </w:t>
      </w:r>
    </w:p>
    <w:p w:rsidR="007E34F2" w:rsidRDefault="00304023">
      <w:pPr>
        <w:spacing w:line="259" w:lineRule="auto"/>
        <w:ind w:left="0" w:firstLine="0"/>
      </w:pPr>
      <w:r>
        <w:t xml:space="preserve"> </w:t>
      </w:r>
    </w:p>
    <w:p w:rsidR="007E34F2" w:rsidRDefault="00304023">
      <w:pPr>
        <w:ind w:left="0" w:firstLine="0"/>
      </w:pPr>
      <w:r>
        <w:t>The MTA and CDA must be signed by the Dean of the College ap</w:t>
      </w:r>
      <w:r>
        <w:t xml:space="preserve">plicable to the employee or student.  No person other than the Dean may sign an MTA or CDA on behalf of the University.   </w:t>
      </w:r>
    </w:p>
    <w:p w:rsidR="007E34F2" w:rsidRDefault="00304023">
      <w:pPr>
        <w:spacing w:line="259" w:lineRule="auto"/>
        <w:ind w:left="0" w:firstLine="0"/>
      </w:pPr>
      <w:r>
        <w:t xml:space="preserve"> </w:t>
      </w:r>
    </w:p>
    <w:p w:rsidR="007E34F2" w:rsidRDefault="00304023">
      <w:pPr>
        <w:ind w:left="0" w:firstLine="0"/>
      </w:pPr>
      <w:r>
        <w:t xml:space="preserve">The following process shall be followed by Faculty when an MTA or CDA is required:  </w:t>
      </w:r>
    </w:p>
    <w:p w:rsidR="007E34F2" w:rsidRDefault="00304023">
      <w:pPr>
        <w:spacing w:after="12" w:line="259" w:lineRule="auto"/>
        <w:ind w:left="0" w:firstLine="0"/>
      </w:pPr>
      <w:r>
        <w:t xml:space="preserve"> </w:t>
      </w:r>
    </w:p>
    <w:p w:rsidR="007E34F2" w:rsidRDefault="00304023">
      <w:pPr>
        <w:numPr>
          <w:ilvl w:val="2"/>
          <w:numId w:val="1"/>
        </w:numPr>
        <w:spacing w:after="26"/>
        <w:ind w:hanging="360"/>
      </w:pPr>
      <w:r>
        <w:t>Determine the appropriate agreement form, i.</w:t>
      </w:r>
      <w:r>
        <w:t>e., MTA for-profit, MTA for not-for-profit, CDA by third party, CDA by third party and Montclair</w:t>
      </w:r>
      <w:bookmarkStart w:id="0" w:name="_GoBack"/>
      <w:bookmarkEnd w:id="0"/>
      <w:r>
        <w:t xml:space="preserve">. </w:t>
      </w:r>
    </w:p>
    <w:p w:rsidR="007E34F2" w:rsidRDefault="00304023">
      <w:pPr>
        <w:numPr>
          <w:ilvl w:val="2"/>
          <w:numId w:val="1"/>
        </w:numPr>
        <w:spacing w:after="26"/>
        <w:ind w:hanging="360"/>
      </w:pPr>
      <w:r>
        <w:t xml:space="preserve">Advise Dean of the applicable College if biological material is to be received by the University. Consult with the Director of Environmental Health &amp; Safety if the University will receive hazardous materials. </w:t>
      </w:r>
    </w:p>
    <w:p w:rsidR="007E34F2" w:rsidRDefault="00304023">
      <w:pPr>
        <w:numPr>
          <w:ilvl w:val="2"/>
          <w:numId w:val="1"/>
        </w:numPr>
        <w:spacing w:after="416"/>
        <w:ind w:hanging="360"/>
      </w:pPr>
      <w:r>
        <w:t>Send the form MTA and CDA to the parties for r</w:t>
      </w:r>
      <w:r>
        <w:t xml:space="preserve">eview.   </w:t>
      </w:r>
    </w:p>
    <w:p w:rsidR="007E34F2" w:rsidRDefault="00304023">
      <w:pPr>
        <w:spacing w:line="259" w:lineRule="auto"/>
        <w:ind w:left="4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E34F2" w:rsidRDefault="00304023">
      <w:pPr>
        <w:spacing w:after="39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981065" cy="56388"/>
                <wp:effectExtent l="0" t="0" r="0" b="0"/>
                <wp:docPr id="1832" name="Group 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56388"/>
                          <a:chOff x="0" y="0"/>
                          <a:chExt cx="5981065" cy="56388"/>
                        </a:xfrm>
                      </wpg:grpSpPr>
                      <wps:wsp>
                        <wps:cNvPr id="2147" name="Shape 2147"/>
                        <wps:cNvSpPr/>
                        <wps:spPr>
                          <a:xfrm>
                            <a:off x="0" y="0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0" y="47244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2" style="width:470.95pt;height:4.44pt;mso-position-horizontal-relative:char;mso-position-vertical-relative:line" coordsize="59810,563">
                <v:shape id="Shape 2149" style="position:absolute;width:59810;height:381;left:0;top:0;" coordsize="5981065,38100" path="m0,0l5981065,0l5981065,38100l0,38100l0,0">
                  <v:stroke weight="0pt" endcap="flat" joinstyle="miter" miterlimit="10" on="false" color="#000000" opacity="0"/>
                  <v:fill on="true" color="#622423"/>
                </v:shape>
                <v:shape id="Shape 2150" style="position:absolute;width:59810;height:91;left:0;top:472;" coordsize="5981065,9144" path="m0,0l5981065,0l5981065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7E34F2" w:rsidRDefault="00304023">
      <w:pPr>
        <w:tabs>
          <w:tab w:val="right" w:pos="9361"/>
        </w:tabs>
        <w:spacing w:after="179" w:line="259" w:lineRule="auto"/>
        <w:ind w:left="-15" w:right="-15" w:firstLine="0"/>
      </w:pPr>
      <w:r>
        <w:rPr>
          <w:rFonts w:ascii="Cambria" w:eastAsia="Cambria" w:hAnsi="Cambria" w:cs="Cambria"/>
          <w:sz w:val="22"/>
        </w:rPr>
        <w:t xml:space="preserve">Material Transfer Agreement Policy and Process – Montclair State University </w:t>
      </w:r>
      <w:r>
        <w:rPr>
          <w:rFonts w:ascii="Cambria" w:eastAsia="Cambria" w:hAnsi="Cambria" w:cs="Cambria"/>
          <w:sz w:val="22"/>
        </w:rPr>
        <w:tab/>
        <w:t xml:space="preserve"> Page 1 </w:t>
      </w:r>
    </w:p>
    <w:p w:rsidR="007E34F2" w:rsidRDefault="00304023">
      <w:pPr>
        <w:spacing w:line="259" w:lineRule="auto"/>
        <w:ind w:left="4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E34F2" w:rsidRDefault="00304023">
      <w:pPr>
        <w:spacing w:after="474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E34F2" w:rsidRDefault="00304023">
      <w:pPr>
        <w:numPr>
          <w:ilvl w:val="2"/>
          <w:numId w:val="1"/>
        </w:numPr>
        <w:spacing w:after="26"/>
        <w:ind w:hanging="360"/>
      </w:pPr>
      <w:r>
        <w:t xml:space="preserve">If the party does not request changes to the MTA </w:t>
      </w:r>
      <w:r>
        <w:t xml:space="preserve">or CDA, obtain the party’s signature to both and forward to the Dean of the applicable College for counter-signature.   </w:t>
      </w:r>
    </w:p>
    <w:p w:rsidR="007E34F2" w:rsidRDefault="00304023">
      <w:pPr>
        <w:numPr>
          <w:ilvl w:val="2"/>
          <w:numId w:val="1"/>
        </w:numPr>
        <w:spacing w:after="26"/>
        <w:ind w:hanging="360"/>
      </w:pPr>
      <w:r>
        <w:t>If the party requests changes to the MTA and CDA, provide their comments to the Dean of the applicable College who shall consult with U</w:t>
      </w:r>
      <w:r>
        <w:t xml:space="preserve">niversity Counsel.  University Counsel will advise when the MTA and CDA are in final form and the employee shall obtain the party’s signature and Dean’s countersignature. </w:t>
      </w:r>
    </w:p>
    <w:p w:rsidR="007E34F2" w:rsidRDefault="00304023">
      <w:pPr>
        <w:numPr>
          <w:ilvl w:val="2"/>
          <w:numId w:val="1"/>
        </w:numPr>
        <w:spacing w:after="9864"/>
        <w:ind w:hanging="360"/>
      </w:pPr>
      <w:r>
        <w:t xml:space="preserve">The Dean shall maintain the MTA with original signatures, and employee shall retain </w:t>
      </w:r>
      <w:r>
        <w:t>a copy. Return a fully executed copy of the MTA and CDA to the party.</w:t>
      </w:r>
      <w:r>
        <w:rPr>
          <w:rFonts w:ascii="Calibri" w:eastAsia="Calibri" w:hAnsi="Calibri" w:cs="Calibri"/>
        </w:rPr>
        <w:t xml:space="preserve"> </w:t>
      </w:r>
    </w:p>
    <w:p w:rsidR="007E34F2" w:rsidRDefault="00304023">
      <w:pPr>
        <w:spacing w:line="259" w:lineRule="auto"/>
        <w:ind w:left="49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7E34F2" w:rsidRDefault="00304023">
      <w:pPr>
        <w:spacing w:after="39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065" cy="56388"/>
                <wp:effectExtent l="0" t="0" r="0" b="0"/>
                <wp:docPr id="1741" name="Group 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56388"/>
                          <a:chOff x="0" y="0"/>
                          <a:chExt cx="5981065" cy="56388"/>
                        </a:xfrm>
                      </wpg:grpSpPr>
                      <wps:wsp>
                        <wps:cNvPr id="2151" name="Shape 2151"/>
                        <wps:cNvSpPr/>
                        <wps:spPr>
                          <a:xfrm>
                            <a:off x="0" y="0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0" y="47244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1" style="width:470.95pt;height:4.44pt;mso-position-horizontal-relative:char;mso-position-vertical-relative:line" coordsize="59810,563">
                <v:shape id="Shape 2153" style="position:absolute;width:59810;height:381;left:0;top:0;" coordsize="5981065,38100" path="m0,0l5981065,0l5981065,38100l0,38100l0,0">
                  <v:stroke weight="0pt" endcap="flat" joinstyle="miter" miterlimit="10" on="false" color="#000000" opacity="0"/>
                  <v:fill on="true" color="#622423"/>
                </v:shape>
                <v:shape id="Shape 2154" style="position:absolute;width:59810;height:91;left:0;top:472;" coordsize="5981065,9144" path="m0,0l5981065,0l5981065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7E34F2" w:rsidRDefault="00304023">
      <w:pPr>
        <w:tabs>
          <w:tab w:val="right" w:pos="9361"/>
        </w:tabs>
        <w:spacing w:after="179" w:line="259" w:lineRule="auto"/>
        <w:ind w:left="-15" w:right="-15" w:firstLine="0"/>
      </w:pPr>
      <w:r>
        <w:rPr>
          <w:rFonts w:ascii="Cambria" w:eastAsia="Cambria" w:hAnsi="Cambria" w:cs="Cambria"/>
          <w:sz w:val="22"/>
        </w:rPr>
        <w:t xml:space="preserve">Material Transfer Agreement Policy and Process – Montclair State University </w:t>
      </w:r>
      <w:r>
        <w:rPr>
          <w:rFonts w:ascii="Cambria" w:eastAsia="Cambria" w:hAnsi="Cambria" w:cs="Cambria"/>
          <w:sz w:val="22"/>
        </w:rPr>
        <w:tab/>
        <w:t xml:space="preserve"> Page 2 </w:t>
      </w:r>
    </w:p>
    <w:p w:rsidR="007E34F2" w:rsidRDefault="00304023">
      <w:pPr>
        <w:spacing w:line="259" w:lineRule="auto"/>
        <w:ind w:left="4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7E34F2">
      <w:pgSz w:w="12240" w:h="15840"/>
      <w:pgMar w:top="763" w:right="1438" w:bottom="2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742A"/>
    <w:multiLevelType w:val="hybridMultilevel"/>
    <w:tmpl w:val="A0183E48"/>
    <w:lvl w:ilvl="0" w:tplc="C9DA6C14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62CE4">
      <w:start w:val="1"/>
      <w:numFmt w:val="decimal"/>
      <w:lvlText w:val="%2.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C53F6">
      <w:start w:val="1"/>
      <w:numFmt w:val="decimal"/>
      <w:lvlText w:val="%3."/>
      <w:lvlJc w:val="left"/>
      <w:pPr>
        <w:ind w:left="14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C3538">
      <w:start w:val="1"/>
      <w:numFmt w:val="decimal"/>
      <w:lvlText w:val="%4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60A2C">
      <w:start w:val="1"/>
      <w:numFmt w:val="lowerLetter"/>
      <w:lvlText w:val="%5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47874">
      <w:start w:val="1"/>
      <w:numFmt w:val="lowerRoman"/>
      <w:lvlText w:val="%6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8BC06">
      <w:start w:val="1"/>
      <w:numFmt w:val="decimal"/>
      <w:lvlText w:val="%7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ACCE">
      <w:start w:val="1"/>
      <w:numFmt w:val="lowerLetter"/>
      <w:lvlText w:val="%8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2B5DE">
      <w:start w:val="1"/>
      <w:numFmt w:val="lowerRoman"/>
      <w:lvlText w:val="%9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2"/>
    <w:rsid w:val="00304023"/>
    <w:rsid w:val="007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E0EB"/>
  <w15:docId w15:val="{DDFD30BD-29B3-48DF-9A55-78403323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370" w:hanging="37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Georgia" w:eastAsia="Georgia" w:hAnsi="Georgia" w:cs="Georgia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>Montclair State University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</dc:creator>
  <cp:keywords/>
  <cp:lastModifiedBy>Ally Mcginley</cp:lastModifiedBy>
  <cp:revision>3</cp:revision>
  <dcterms:created xsi:type="dcterms:W3CDTF">2024-04-16T13:26:00Z</dcterms:created>
  <dcterms:modified xsi:type="dcterms:W3CDTF">2024-04-16T13:26:00Z</dcterms:modified>
</cp:coreProperties>
</file>